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i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36"/>
          <w:szCs w:val="36"/>
          <w:rtl w:val="0"/>
        </w:rPr>
        <w:t xml:space="preserve">Collision Monitoring: Measuring Success &amp; Building Collaborations in the Midwest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June 27 &amp; 28, 2024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Field Museum, Chicago, IL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GOAL: To convene experts in the bird collision monitoring community to gather successes, lessons learned, and needs that can fuel future collaboration and work to prevent collisions.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AUDIENCE: Collision monitoring leaders from the Midwest region, bird safe building advocates, researchers, Upper Mississippi / Great Lakes Joint Venture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20"/>
        <w:gridCol w:w="7680"/>
        <w:tblGridChange w:id="0">
          <w:tblGrid>
            <w:gridCol w:w="1320"/>
            <w:gridCol w:w="768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DAY 1  (Founder’s Room and Lecture Hall 1)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Welcome &amp; Introductions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Founder’s Room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(Shawn Graff &amp; Annette Prince)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9:30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Workshop Overview (Anna Sidie-Slettedahl)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9:45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Upper Mississippi/Great Lakes Joint Venture and Urban Bird Conservation Delivery Network Overview (Anna Sidie-Slettedahl and Shawn Graff)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10:15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Update on American Ornithology Society Collisions Track (Heidi Trudell) &amp; U.S. Fish &amp; Wildlife Service’s Collisions 02/2024 Meeting (Joelle Gehring)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10:45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Break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Invited Monitoring Program Presentations (list below)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12:45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Lunch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1:15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Transition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Lecture Hall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1:45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Monitoring Program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Panel 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iscussion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Monitoring Portals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(Kaitlyn Parkins)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3:30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Bird-Friendly Building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Ordinances (Bryan Lenz)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Light Pollution (Benjamin van Doren)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4:45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Adjournment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5:30 pm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Social Hour at Bar Louie - Printers Row</w:t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"/>
        <w:gridCol w:w="7635"/>
        <w:tblGridChange w:id="0">
          <w:tblGrid>
            <w:gridCol w:w="1365"/>
            <w:gridCol w:w="763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bfbfbf" w:space="0" w:sz="8" w:val="single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DAY 2  (Founder’s Room)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Visit 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McCormick Place &amp; Bird Sanctuary (Optional)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9:00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Welcome Back in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Founder’s 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9:15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Bird City Network &amp; Urban Bird Treaty Program (Joanna Eckles &amp; Roxanne Bogart)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10:00 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120" w:before="24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Monitoring as a catalyst for conservation action 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Joelle Gehring, Doug Gorby, Brian Smith)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after="0" w:afterAutospacing="0" w:before="24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 does a successful urban birds program look like?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monitoring can identify strategies and best management practices to reduce collisions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Case studies and success stories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after="0" w:afterAutospacing="0" w:before="0" w:beforeAutospacing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Lightning breakouts!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1"/>
                <w:numId w:val="1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could your work inform a comprehensive urban bird program?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1"/>
                <w:numId w:val="1"/>
              </w:numPr>
              <w:spacing w:after="0" w:afterAutospacing="0" w:before="0" w:beforeAutospacing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What’s lacking to take the next step?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1"/>
                <w:numId w:val="1"/>
              </w:numPr>
              <w:spacing w:after="240" w:before="0" w:beforeAutospacing="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How can we collaborate and organise better to support each other?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11:30 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Break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11:45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Wrap Up &amp; Next Steps (Bryan Lenz)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bfbfbf" w:space="0" w:sz="8" w:val="single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12:30 pm - 4:00 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36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Field Museum Bird Collection Tours (Optional)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Invited Monitoring Program Presentations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Krystal Anton, Johnson County Community College (Missouri)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Katherine Chen, Project Safe Flight (NYC Bird Alliance (formerly New York City Audubon))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Chloe Crumley, Lights Out Texas (Audubon Texas)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Brenna Mariscek, Bird Collision Corps (Southern Wisconsin Bird Alliance (formerly Madison Audubon))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Michael Mesure, FLAP Canada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Tessa Poolman, BirdSafeKC (Missouri River Bird Observatory)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Annette Prince, Chicago Bird Collision Monitors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Matt Shumar, Lights Out Cleveland (Ohio Bird Conservation Initiative)</w:t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Upper Mississippi/Great Lakes Joint Venture</w:t>
    </w:r>
  </w:p>
  <w:p w:rsidR="00000000" w:rsidDel="00000000" w:rsidP="00000000" w:rsidRDefault="00000000" w:rsidRPr="00000000" w14:paraId="0000004F">
    <w:pPr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Urban Bird Conservation Delivery Network</w:t>
    </w:r>
  </w:p>
  <w:p w:rsidR="00000000" w:rsidDel="00000000" w:rsidP="00000000" w:rsidRDefault="00000000" w:rsidRPr="00000000" w14:paraId="00000050">
    <w:pPr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